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1ABA7E" w14:textId="1E6CB1D0" w:rsidR="009861F0" w:rsidRPr="009861F0" w:rsidRDefault="009861F0" w:rsidP="009861F0">
      <w:pPr>
        <w:spacing w:after="0" w:line="240" w:lineRule="auto"/>
        <w:jc w:val="center"/>
      </w:pPr>
      <w:r w:rsidRPr="009861F0">
        <w:rPr>
          <w:b/>
          <w:bCs/>
        </w:rPr>
        <w:t>CONSELHO FISCAL</w:t>
      </w:r>
      <w:r w:rsidRPr="009861F0">
        <w:t xml:space="preserve"> DA AGÊNCIA DE FOMENTO DE GOIÁS S/A – GOIÁSFOMENTO</w:t>
      </w:r>
    </w:p>
    <w:p w14:paraId="04713291" w14:textId="77777777" w:rsidR="009861F0" w:rsidRPr="009861F0" w:rsidRDefault="009861F0" w:rsidP="009861F0">
      <w:pPr>
        <w:spacing w:after="0" w:line="240" w:lineRule="auto"/>
        <w:jc w:val="center"/>
      </w:pPr>
      <w:r w:rsidRPr="009861F0">
        <w:t>EXERCÍCIO SOCIAL FINDO EM 31 DE DEZEMBRO DE 2025</w:t>
      </w:r>
    </w:p>
    <w:p w14:paraId="239C16F0" w14:textId="77777777" w:rsidR="009861F0" w:rsidRDefault="009861F0" w:rsidP="009861F0"/>
    <w:p w14:paraId="443D25B5" w14:textId="628C8914" w:rsidR="009861F0" w:rsidRPr="009861F0" w:rsidRDefault="009861F0" w:rsidP="009861F0">
      <w:pPr>
        <w:rPr>
          <w:u w:val="single"/>
        </w:rPr>
      </w:pPr>
      <w:r w:rsidRPr="009861F0">
        <w:rPr>
          <w:u w:val="single"/>
        </w:rPr>
        <w:t>Parecer do Conselho Fiscal com Ressalvas</w:t>
      </w:r>
    </w:p>
    <w:p w14:paraId="243732F2" w14:textId="77777777" w:rsidR="009861F0" w:rsidRDefault="009861F0" w:rsidP="009861F0"/>
    <w:p w14:paraId="34C4A200" w14:textId="6296E15B" w:rsidR="009861F0" w:rsidRDefault="009861F0" w:rsidP="009861F0">
      <w:pPr>
        <w:jc w:val="both"/>
      </w:pPr>
      <w:r>
        <w:t>Em cumprimento às atribuições legais e estatutárias conferidas ao Conselho Fiscal, proced</w:t>
      </w:r>
      <w:r>
        <w:t>eu</w:t>
      </w:r>
      <w:r>
        <w:t xml:space="preserve"> à análise das Demonstrações Financeiras da Agência de Fomento de Goiás S/A – </w:t>
      </w:r>
      <w:proofErr w:type="spellStart"/>
      <w:r>
        <w:t>GoiásFomento</w:t>
      </w:r>
      <w:proofErr w:type="spellEnd"/>
      <w:r>
        <w:t xml:space="preserve">, relativas ao </w:t>
      </w:r>
      <w:r w:rsidRPr="009861F0">
        <w:rPr>
          <w:b/>
          <w:bCs/>
        </w:rPr>
        <w:t>exercício social findo em 31 de dezembro de 2025,</w:t>
      </w:r>
      <w:r>
        <w:t xml:space="preserve"> compostas pelo Balanço Patrimonial, Demonstração do Resultado, Demonstração do Resultado Abrangente, Demonstração dos Fluxos de Caixa, Demonstração das Mutações do Patrimônio Líquido, Notas Explicativas e Relatório da Administração.</w:t>
      </w:r>
    </w:p>
    <w:p w14:paraId="4BE0753F" w14:textId="541FCDCC" w:rsidR="009861F0" w:rsidRDefault="009861F0" w:rsidP="009861F0">
      <w:pPr>
        <w:jc w:val="both"/>
      </w:pPr>
      <w:r>
        <w:t>A análise foi realizada à luz das práticas contábeis adotadas no Brasil, aplicáveis às instituições autorizadas a funcionar pelo Banco Central do Brasil, bem como considerando as disposições da Lei nº 6.404/1976, normas do Conselho Monetário Nacional e demais normativos aplicáveis ao Sistema Financeiro Nacional.</w:t>
      </w:r>
    </w:p>
    <w:p w14:paraId="57785D9E" w14:textId="6326DA88" w:rsidR="009861F0" w:rsidRDefault="009861F0" w:rsidP="009861F0">
      <w:pPr>
        <w:jc w:val="both"/>
      </w:pPr>
      <w:r>
        <w:t>Registra-se que as demonstrações financeiras foram objeto de exame por auditoria independente, que emitiu opinião sem ressalvas, atestando que as referidas demonstrações apresentam adequadamente, em todos os aspectos relevantes, a posição patrimonial e financeira da instituição, bem como o desempenho de suas operações e fluxos de caixa para o exercício findo em 31 de dezembro de 2025.</w:t>
      </w:r>
    </w:p>
    <w:p w14:paraId="5391632C" w14:textId="649A81EC" w:rsidR="009861F0" w:rsidRDefault="009861F0" w:rsidP="009861F0">
      <w:pPr>
        <w:jc w:val="both"/>
      </w:pPr>
      <w:r>
        <w:t>Não obstante a conclusão favorável da auditoria independente, consigno os seguintes pontos de atenção, para fins de acompanhamento pela administração e governança da instituição:</w:t>
      </w:r>
    </w:p>
    <w:p w14:paraId="25656B23" w14:textId="167737DE" w:rsidR="009861F0" w:rsidRDefault="009861F0" w:rsidP="009861F0">
      <w:pPr>
        <w:jc w:val="both"/>
      </w:pPr>
      <w:r>
        <w:t>I – Adoção da Resolução CMN nº 4.966/2021, com impactos relevantes na mensuração de instrumentos financeiros e provisões para perdas esperadas, inclusive com dispensa de apresentação de informações comparativas, o que reduz a capacidade de análise evolutiva das demonstrações no exercício;</w:t>
      </w:r>
    </w:p>
    <w:p w14:paraId="2C531468" w14:textId="76A70029" w:rsidR="009861F0" w:rsidRDefault="009861F0" w:rsidP="009861F0">
      <w:pPr>
        <w:jc w:val="both"/>
      </w:pPr>
      <w:r>
        <w:t>II – Elevação do índice de inadimplência, que alcançou aproximadamente 8% da carteira de crédito, evidenciando deterioração marginal da qualidade dos ativos, em ambiente macroeconômico ainda desafiador;</w:t>
      </w:r>
    </w:p>
    <w:p w14:paraId="37BE9CCD" w14:textId="7FBE0DCA" w:rsidR="009861F0" w:rsidRDefault="009861F0" w:rsidP="009861F0">
      <w:pPr>
        <w:jc w:val="both"/>
      </w:pPr>
      <w:r>
        <w:t>III – Consumo de caixa nas atividades operacionais, conforme demonstrado na Demonstração dos Fluxos de Caixa, indicando a necessidade de contínuo monitoramento da liquidez e da sustentabilidade financeira das operações;</w:t>
      </w:r>
    </w:p>
    <w:p w14:paraId="2692449C" w14:textId="77777777" w:rsidR="009861F0" w:rsidRDefault="009861F0" w:rsidP="009861F0">
      <w:pPr>
        <w:jc w:val="both"/>
      </w:pPr>
      <w:r>
        <w:lastRenderedPageBreak/>
        <w:t>IV – Concentração da estratégia operacional em operações de maior ticket médio, com redução do número de operações ativas, o que demanda avaliação contínua quanto aos riscos de concentração e impactos na política pública de crédito.</w:t>
      </w:r>
    </w:p>
    <w:p w14:paraId="545EC9DF" w14:textId="3E05A3AB" w:rsidR="009861F0" w:rsidRDefault="009861F0" w:rsidP="009861F0">
      <w:pPr>
        <w:jc w:val="both"/>
      </w:pPr>
      <w:r w:rsidRPr="009861F0">
        <w:t>V</w:t>
      </w:r>
      <w:r>
        <w:t xml:space="preserve"> - </w:t>
      </w:r>
      <w:r w:rsidRPr="009861F0">
        <w:t>As Receitas de Recuperação de Crédito totalizaram R$ 9,8 milhões, apresentando redução de 17,7% em relação ao exercício anterior, situando-se abaixo da meta orçamentária projetada.</w:t>
      </w:r>
    </w:p>
    <w:p w14:paraId="08B14433" w14:textId="4EE763A2" w:rsidR="009861F0" w:rsidRDefault="009861F0" w:rsidP="009861F0">
      <w:pPr>
        <w:jc w:val="both"/>
      </w:pPr>
      <w:r>
        <w:t>Ressalt</w:t>
      </w:r>
      <w:r>
        <w:t>amos</w:t>
      </w:r>
      <w:r>
        <w:t xml:space="preserve"> que os pontos acima não configuram, no presente momento, distorções relevantes que comprometam a fidedignidade das demonstrações financeiras, mas devem ser objeto de monitoramento permanente </w:t>
      </w:r>
      <w:r w:rsidR="002A5A65">
        <w:t>pelas instâncias</w:t>
      </w:r>
      <w:r>
        <w:t xml:space="preserve"> de administração e governança da instituição.</w:t>
      </w:r>
    </w:p>
    <w:p w14:paraId="64705935" w14:textId="1FC7EDE7" w:rsidR="009861F0" w:rsidRDefault="009861F0" w:rsidP="009861F0">
      <w:r>
        <w:t>Diante do exposto, e considerando:</w:t>
      </w:r>
    </w:p>
    <w:p w14:paraId="451B2B08" w14:textId="77777777" w:rsidR="009861F0" w:rsidRDefault="009861F0" w:rsidP="009861F0">
      <w:r>
        <w:t>* a consistência das demonstrações financeiras apresentadas;</w:t>
      </w:r>
    </w:p>
    <w:p w14:paraId="3E4EB782" w14:textId="77777777" w:rsidR="009861F0" w:rsidRDefault="009861F0" w:rsidP="009861F0">
      <w:r>
        <w:t>* a conformidade com as normas contábeis e regulatórias aplicáveis;</w:t>
      </w:r>
    </w:p>
    <w:p w14:paraId="561559AC" w14:textId="53FE6D3D" w:rsidR="009861F0" w:rsidRDefault="009861F0" w:rsidP="009861F0">
      <w:r>
        <w:t>* e a opinião sem ressalvas emitida pela auditoria independente;</w:t>
      </w:r>
    </w:p>
    <w:p w14:paraId="0C1DFE51" w14:textId="72A74C53" w:rsidR="009861F0" w:rsidRDefault="009861F0" w:rsidP="009861F0">
      <w:pPr>
        <w:jc w:val="both"/>
      </w:pPr>
      <w:r>
        <w:t>Votamos pela</w:t>
      </w:r>
      <w:r>
        <w:t xml:space="preserve"> APROVAÇÃO das Demonstrações Financeiras da Agência de Fomento de Goiás S/A – </w:t>
      </w:r>
      <w:proofErr w:type="spellStart"/>
      <w:r>
        <w:t>GoiásFomento</w:t>
      </w:r>
      <w:proofErr w:type="spellEnd"/>
      <w:r>
        <w:t xml:space="preserve">, relativas ao exercício social findo </w:t>
      </w:r>
      <w:r w:rsidRPr="009861F0">
        <w:rPr>
          <w:b/>
          <w:bCs/>
        </w:rPr>
        <w:t>em 31 de dezembro de 2025</w:t>
      </w:r>
      <w:r>
        <w:t xml:space="preserve">, </w:t>
      </w:r>
      <w:r>
        <w:t xml:space="preserve">considerando-as em condições de serem submetidas à apreciação do Conselho de Administração, </w:t>
      </w:r>
      <w:r>
        <w:t>com o registro dos pontos de atenção acima consignados em ata, para fins de acompanhamento pela administração.</w:t>
      </w:r>
    </w:p>
    <w:p w14:paraId="6DD0B4CA" w14:textId="7E6FC098" w:rsidR="00181888" w:rsidRDefault="009861F0" w:rsidP="009861F0">
      <w:pPr>
        <w:jc w:val="right"/>
      </w:pPr>
      <w:r>
        <w:t>Goiânia</w:t>
      </w:r>
      <w:r>
        <w:t>/GO</w:t>
      </w:r>
      <w:r>
        <w:t xml:space="preserve">, </w:t>
      </w:r>
      <w:r>
        <w:t xml:space="preserve">23 de abril de </w:t>
      </w:r>
      <w:r>
        <w:t>2026.</w:t>
      </w:r>
    </w:p>
    <w:p w14:paraId="3BC9F39D" w14:textId="77777777" w:rsidR="009861F0" w:rsidRDefault="009861F0" w:rsidP="009861F0">
      <w:pPr>
        <w:jc w:val="right"/>
      </w:pPr>
    </w:p>
    <w:p w14:paraId="1351D30F" w14:textId="77777777" w:rsidR="009861F0" w:rsidRPr="00213079" w:rsidRDefault="009861F0" w:rsidP="009861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César Augusto </w:t>
      </w:r>
      <w:proofErr w:type="spellStart"/>
      <w:r>
        <w:rPr>
          <w:rFonts w:ascii="Times New Roman" w:hAnsi="Times New Roman"/>
          <w:sz w:val="28"/>
          <w:szCs w:val="28"/>
        </w:rPr>
        <w:t>Sotkeviciene</w:t>
      </w:r>
      <w:proofErr w:type="spellEnd"/>
      <w:r>
        <w:rPr>
          <w:rFonts w:ascii="Times New Roman" w:hAnsi="Times New Roman"/>
          <w:sz w:val="28"/>
          <w:szCs w:val="28"/>
        </w:rPr>
        <w:t xml:space="preserve"> Moura</w:t>
      </w:r>
    </w:p>
    <w:p w14:paraId="451AA696" w14:textId="77777777" w:rsidR="009861F0" w:rsidRPr="00213079" w:rsidRDefault="009861F0" w:rsidP="009861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13079">
        <w:rPr>
          <w:rFonts w:ascii="Times New Roman" w:hAnsi="Times New Roman"/>
          <w:sz w:val="28"/>
          <w:szCs w:val="28"/>
        </w:rPr>
        <w:t>Conselheiro</w:t>
      </w:r>
    </w:p>
    <w:p w14:paraId="2A75B4EA" w14:textId="77777777" w:rsidR="009861F0" w:rsidRPr="00213079" w:rsidRDefault="009861F0" w:rsidP="009861F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720"/>
        <w:jc w:val="right"/>
        <w:rPr>
          <w:rFonts w:ascii="Times New Roman" w:hAnsi="Times New Roman"/>
          <w:sz w:val="28"/>
          <w:szCs w:val="28"/>
        </w:rPr>
      </w:pPr>
    </w:p>
    <w:p w14:paraId="00AA487B" w14:textId="77777777" w:rsidR="009861F0" w:rsidRPr="00213079" w:rsidRDefault="009861F0" w:rsidP="009861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FAB5780" w14:textId="77777777" w:rsidR="009861F0" w:rsidRPr="00213079" w:rsidRDefault="009861F0" w:rsidP="009861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Rafaela Avelar De </w:t>
      </w:r>
      <w:proofErr w:type="spellStart"/>
      <w:r>
        <w:rPr>
          <w:rFonts w:ascii="Times New Roman" w:hAnsi="Times New Roman"/>
          <w:sz w:val="28"/>
          <w:szCs w:val="28"/>
        </w:rPr>
        <w:t>Quiroz</w:t>
      </w:r>
      <w:proofErr w:type="spellEnd"/>
    </w:p>
    <w:p w14:paraId="0B48818D" w14:textId="77777777" w:rsidR="009861F0" w:rsidRDefault="009861F0" w:rsidP="009861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13079">
        <w:rPr>
          <w:rFonts w:ascii="Times New Roman" w:hAnsi="Times New Roman"/>
          <w:sz w:val="28"/>
          <w:szCs w:val="28"/>
        </w:rPr>
        <w:t>C</w:t>
      </w:r>
      <w:r>
        <w:rPr>
          <w:rFonts w:ascii="Times New Roman" w:hAnsi="Times New Roman"/>
          <w:sz w:val="28"/>
          <w:szCs w:val="28"/>
        </w:rPr>
        <w:t>o</w:t>
      </w:r>
      <w:r w:rsidRPr="00213079">
        <w:rPr>
          <w:rFonts w:ascii="Times New Roman" w:hAnsi="Times New Roman"/>
          <w:sz w:val="28"/>
          <w:szCs w:val="28"/>
        </w:rPr>
        <w:t>nselheir</w:t>
      </w:r>
      <w:r>
        <w:rPr>
          <w:rFonts w:ascii="Times New Roman" w:hAnsi="Times New Roman"/>
          <w:sz w:val="28"/>
          <w:szCs w:val="28"/>
        </w:rPr>
        <w:t>a</w:t>
      </w:r>
    </w:p>
    <w:p w14:paraId="779EB81A" w14:textId="77777777" w:rsidR="009861F0" w:rsidRDefault="009861F0" w:rsidP="009861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F09B6A5" w14:textId="77777777" w:rsidR="009861F0" w:rsidRDefault="009861F0" w:rsidP="009861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2B0971B" w14:textId="77777777" w:rsidR="009861F0" w:rsidRDefault="009861F0" w:rsidP="009861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Wellington Matos De Lima</w:t>
      </w:r>
    </w:p>
    <w:p w14:paraId="5BA1C55E" w14:textId="77777777" w:rsidR="009861F0" w:rsidRPr="00213079" w:rsidRDefault="009861F0" w:rsidP="009861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Conselheiro</w:t>
      </w:r>
    </w:p>
    <w:p w14:paraId="3309A027" w14:textId="77777777" w:rsidR="009861F0" w:rsidRDefault="009861F0" w:rsidP="009861F0">
      <w:pPr>
        <w:jc w:val="right"/>
      </w:pPr>
    </w:p>
    <w:sectPr w:rsidR="009861F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1F0"/>
    <w:rsid w:val="00002F6A"/>
    <w:rsid w:val="00181888"/>
    <w:rsid w:val="002A5A65"/>
    <w:rsid w:val="009861F0"/>
    <w:rsid w:val="00DB2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36E9F"/>
  <w15:chartTrackingRefBased/>
  <w15:docId w15:val="{92D4E987-918E-47BE-A39A-3B5F79C31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9861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9861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9861F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9861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9861F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9861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9861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9861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9861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9861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9861F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9861F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9861F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9861F0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9861F0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9861F0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9861F0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9861F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9861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9861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9861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9861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9861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9861F0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9861F0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9861F0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9861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9861F0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9861F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573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Terezinha da Mota Batista</dc:creator>
  <cp:keywords/>
  <dc:description/>
  <cp:lastModifiedBy>Maria Terezinha da Mota Batista</cp:lastModifiedBy>
  <cp:revision>2</cp:revision>
  <dcterms:created xsi:type="dcterms:W3CDTF">2026-04-24T19:50:00Z</dcterms:created>
  <dcterms:modified xsi:type="dcterms:W3CDTF">2026-04-24T20:11:00Z</dcterms:modified>
</cp:coreProperties>
</file>